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B869304" w:rsidR="00EC31BD" w:rsidRPr="000C7A1A" w:rsidRDefault="007665FF" w:rsidP="00090327">
      <w:pPr>
        <w:shd w:val="clear" w:color="auto" w:fill="FFFFFF"/>
        <w:ind w:right="838"/>
        <w:rPr>
          <w:rFonts w:asciiTheme="majorHAnsi" w:hAnsiTheme="majorHAnsi" w:cstheme="majorHAnsi"/>
          <w:b/>
          <w:sz w:val="24"/>
          <w:szCs w:val="24"/>
          <w:highlight w:val="yellow"/>
          <w:lang w:val="en-GB"/>
        </w:rPr>
      </w:pPr>
      <w:r>
        <w:rPr>
          <w:rFonts w:asciiTheme="majorHAnsi" w:hAnsiTheme="majorHAnsi" w:cstheme="majorHAnsi"/>
          <w:b/>
          <w:sz w:val="24"/>
          <w:szCs w:val="24"/>
          <w:highlight w:val="yellow"/>
          <w:lang w:val="en-GB"/>
        </w:rPr>
        <w:t xml:space="preserve">A Sermon Plan for </w:t>
      </w:r>
      <w:r w:rsidR="00861989" w:rsidRPr="000C7A1A">
        <w:rPr>
          <w:rFonts w:asciiTheme="majorHAnsi" w:hAnsiTheme="majorHAnsi" w:cstheme="majorHAnsi"/>
          <w:b/>
          <w:sz w:val="24"/>
          <w:szCs w:val="24"/>
          <w:highlight w:val="yellow"/>
          <w:lang w:val="en-GB"/>
        </w:rPr>
        <w:t xml:space="preserve">John 12:1–8: </w:t>
      </w:r>
      <w:r>
        <w:rPr>
          <w:rFonts w:asciiTheme="majorHAnsi" w:hAnsiTheme="majorHAnsi" w:cstheme="majorHAnsi"/>
          <w:b/>
          <w:sz w:val="24"/>
          <w:szCs w:val="24"/>
          <w:highlight w:val="yellow"/>
          <w:lang w:val="en-GB"/>
        </w:rPr>
        <w:tab/>
      </w:r>
      <w:bookmarkStart w:id="0" w:name="_GoBack"/>
      <w:bookmarkEnd w:id="0"/>
      <w:r w:rsidR="00861989" w:rsidRPr="000C7A1A">
        <w:rPr>
          <w:rFonts w:asciiTheme="majorHAnsi" w:hAnsiTheme="majorHAnsi" w:cstheme="majorHAnsi"/>
          <w:b/>
          <w:sz w:val="24"/>
          <w:szCs w:val="24"/>
          <w:highlight w:val="yellow"/>
          <w:lang w:val="en-GB"/>
        </w:rPr>
        <w:t>The Extravagant Generosity of Mary</w:t>
      </w:r>
    </w:p>
    <w:p w14:paraId="5F999B38" w14:textId="77777777" w:rsidR="00090327" w:rsidRPr="000C7A1A" w:rsidRDefault="00090327" w:rsidP="00090327">
      <w:pPr>
        <w:shd w:val="clear" w:color="auto" w:fill="FFFFFF"/>
        <w:ind w:right="838"/>
        <w:rPr>
          <w:rFonts w:asciiTheme="majorHAnsi" w:hAnsiTheme="majorHAnsi" w:cstheme="majorHAnsi"/>
          <w:b/>
          <w:sz w:val="24"/>
          <w:szCs w:val="24"/>
          <w:lang w:val="en-GB"/>
        </w:rPr>
      </w:pPr>
    </w:p>
    <w:p w14:paraId="00000002" w14:textId="22E49F78" w:rsidR="00EC31BD" w:rsidRPr="000C7A1A" w:rsidRDefault="00861989" w:rsidP="00090327">
      <w:pPr>
        <w:shd w:val="clear" w:color="auto" w:fill="FFFFFF"/>
        <w:spacing w:line="240" w:lineRule="auto"/>
        <w:rPr>
          <w:rFonts w:asciiTheme="majorHAnsi" w:hAnsiTheme="majorHAnsi" w:cstheme="majorHAnsi"/>
          <w:i/>
          <w:sz w:val="24"/>
          <w:szCs w:val="24"/>
          <w:highlight w:val="cyan"/>
          <w:lang w:val="en-GB"/>
        </w:rPr>
      </w:pPr>
      <w:r w:rsidRPr="000C7A1A">
        <w:rPr>
          <w:rFonts w:asciiTheme="majorHAnsi" w:hAnsiTheme="majorHAnsi" w:cstheme="majorHAnsi"/>
          <w:i/>
          <w:sz w:val="24"/>
          <w:szCs w:val="24"/>
          <w:highlight w:val="cyan"/>
          <w:vertAlign w:val="superscript"/>
          <w:lang w:val="en-GB"/>
        </w:rPr>
        <w:t xml:space="preserve">12 </w:t>
      </w:r>
      <w:r w:rsidRPr="000C7A1A">
        <w:rPr>
          <w:rFonts w:asciiTheme="majorHAnsi" w:hAnsiTheme="majorHAnsi" w:cstheme="majorHAnsi"/>
          <w:i/>
          <w:sz w:val="24"/>
          <w:szCs w:val="24"/>
          <w:highlight w:val="cyan"/>
          <w:lang w:val="en-GB"/>
        </w:rPr>
        <w:t>Six days before the Passover Jesus came to Bethany, the home of Lazarus, whom he had raised from the dead.</w:t>
      </w:r>
      <w:r w:rsidRPr="000C7A1A">
        <w:rPr>
          <w:rFonts w:asciiTheme="majorHAnsi" w:hAnsiTheme="majorHAnsi" w:cstheme="majorHAnsi"/>
          <w:i/>
          <w:sz w:val="24"/>
          <w:szCs w:val="24"/>
          <w:highlight w:val="cyan"/>
          <w:vertAlign w:val="superscript"/>
          <w:lang w:val="en-GB"/>
        </w:rPr>
        <w:t xml:space="preserve"> 2</w:t>
      </w:r>
      <w:r w:rsidRPr="000C7A1A">
        <w:rPr>
          <w:rFonts w:asciiTheme="majorHAnsi" w:hAnsiTheme="majorHAnsi" w:cstheme="majorHAnsi"/>
          <w:i/>
          <w:sz w:val="24"/>
          <w:szCs w:val="24"/>
          <w:highlight w:val="cyan"/>
          <w:lang w:val="en-GB"/>
        </w:rPr>
        <w:t xml:space="preserve"> There they gave a dinner for him. Martha served, and Lazarus was one of those at the table with him. </w:t>
      </w:r>
      <w:r w:rsidRPr="000C7A1A">
        <w:rPr>
          <w:rFonts w:asciiTheme="majorHAnsi" w:hAnsiTheme="majorHAnsi" w:cstheme="majorHAnsi"/>
          <w:i/>
          <w:sz w:val="24"/>
          <w:szCs w:val="24"/>
          <w:highlight w:val="cyan"/>
          <w:vertAlign w:val="superscript"/>
          <w:lang w:val="en-GB"/>
        </w:rPr>
        <w:t>3</w:t>
      </w:r>
      <w:r w:rsidRPr="000C7A1A">
        <w:rPr>
          <w:rFonts w:asciiTheme="majorHAnsi" w:hAnsiTheme="majorHAnsi" w:cstheme="majorHAnsi"/>
          <w:i/>
          <w:sz w:val="24"/>
          <w:szCs w:val="24"/>
          <w:highlight w:val="cyan"/>
          <w:lang w:val="en-GB"/>
        </w:rPr>
        <w:t xml:space="preserve"> Mary took a pound of costly perfume made of pure nard, anointed Jesus’ feet, and wiped </w:t>
      </w:r>
      <w:proofErr w:type="spellStart"/>
      <w:r w:rsidRPr="000C7A1A">
        <w:rPr>
          <w:rFonts w:asciiTheme="majorHAnsi" w:hAnsiTheme="majorHAnsi" w:cstheme="majorHAnsi"/>
          <w:i/>
          <w:sz w:val="24"/>
          <w:szCs w:val="24"/>
          <w:highlight w:val="cyan"/>
          <w:lang w:val="en-GB"/>
        </w:rPr>
        <w:t>them</w:t>
      </w:r>
      <w:hyperlink r:id="rId4" w:anchor="footnote1">
        <w:r w:rsidRPr="000C7A1A">
          <w:rPr>
            <w:rFonts w:asciiTheme="majorHAnsi" w:hAnsiTheme="majorHAnsi" w:cstheme="majorHAnsi"/>
            <w:i/>
            <w:sz w:val="24"/>
            <w:szCs w:val="24"/>
            <w:highlight w:val="cyan"/>
            <w:u w:val="single"/>
            <w:vertAlign w:val="superscript"/>
            <w:lang w:val="en-GB"/>
          </w:rPr>
          <w:t>a</w:t>
        </w:r>
        <w:proofErr w:type="spellEnd"/>
      </w:hyperlink>
      <w:r w:rsidRPr="000C7A1A">
        <w:rPr>
          <w:rFonts w:asciiTheme="majorHAnsi" w:hAnsiTheme="majorHAnsi" w:cstheme="majorHAnsi"/>
          <w:i/>
          <w:sz w:val="24"/>
          <w:szCs w:val="24"/>
          <w:highlight w:val="cyan"/>
          <w:lang w:val="en-GB"/>
        </w:rPr>
        <w:t xml:space="preserve"> with her hair. The house was filled with the fragrance of the perfume. </w:t>
      </w:r>
    </w:p>
    <w:p w14:paraId="37C67631" w14:textId="77777777" w:rsidR="00090327" w:rsidRPr="000C7A1A" w:rsidRDefault="00090327" w:rsidP="00090327">
      <w:pPr>
        <w:shd w:val="clear" w:color="auto" w:fill="FFFFFF"/>
        <w:spacing w:line="240" w:lineRule="auto"/>
        <w:rPr>
          <w:rFonts w:asciiTheme="majorHAnsi" w:hAnsiTheme="majorHAnsi" w:cstheme="majorHAnsi"/>
          <w:i/>
          <w:sz w:val="24"/>
          <w:szCs w:val="24"/>
          <w:highlight w:val="cyan"/>
          <w:vertAlign w:val="superscript"/>
          <w:lang w:val="en-GB"/>
        </w:rPr>
      </w:pPr>
    </w:p>
    <w:p w14:paraId="00000003" w14:textId="53B10719" w:rsidR="00EC31BD" w:rsidRPr="000C7A1A" w:rsidRDefault="00861989" w:rsidP="00090327">
      <w:pPr>
        <w:shd w:val="clear" w:color="auto" w:fill="FFFFFF"/>
        <w:spacing w:line="240" w:lineRule="auto"/>
        <w:rPr>
          <w:rFonts w:asciiTheme="majorHAnsi" w:hAnsiTheme="majorHAnsi" w:cstheme="majorHAnsi"/>
          <w:i/>
          <w:sz w:val="24"/>
          <w:szCs w:val="24"/>
          <w:highlight w:val="cyan"/>
          <w:lang w:val="en-GB"/>
        </w:rPr>
      </w:pPr>
      <w:r w:rsidRPr="000C7A1A">
        <w:rPr>
          <w:rFonts w:asciiTheme="majorHAnsi" w:hAnsiTheme="majorHAnsi" w:cstheme="majorHAnsi"/>
          <w:i/>
          <w:sz w:val="24"/>
          <w:szCs w:val="24"/>
          <w:highlight w:val="cyan"/>
          <w:vertAlign w:val="superscript"/>
          <w:lang w:val="en-GB"/>
        </w:rPr>
        <w:t>4</w:t>
      </w:r>
      <w:r w:rsidRPr="000C7A1A">
        <w:rPr>
          <w:rFonts w:asciiTheme="majorHAnsi" w:hAnsiTheme="majorHAnsi" w:cstheme="majorHAnsi"/>
          <w:i/>
          <w:sz w:val="24"/>
          <w:szCs w:val="24"/>
          <w:highlight w:val="cyan"/>
          <w:lang w:val="en-GB"/>
        </w:rPr>
        <w:t xml:space="preserve"> But Judas Iscariot, one of his disciples (the one who was about to betray him), said,</w:t>
      </w:r>
      <w:r w:rsidRPr="000C7A1A">
        <w:rPr>
          <w:rFonts w:asciiTheme="majorHAnsi" w:hAnsiTheme="majorHAnsi" w:cstheme="majorHAnsi"/>
          <w:i/>
          <w:sz w:val="24"/>
          <w:szCs w:val="24"/>
          <w:highlight w:val="cyan"/>
          <w:vertAlign w:val="superscript"/>
          <w:lang w:val="en-GB"/>
        </w:rPr>
        <w:t xml:space="preserve"> 5</w:t>
      </w:r>
      <w:r w:rsidRPr="000C7A1A">
        <w:rPr>
          <w:rFonts w:asciiTheme="majorHAnsi" w:hAnsiTheme="majorHAnsi" w:cstheme="majorHAnsi"/>
          <w:i/>
          <w:sz w:val="24"/>
          <w:szCs w:val="24"/>
          <w:highlight w:val="cyan"/>
          <w:lang w:val="en-GB"/>
        </w:rPr>
        <w:t xml:space="preserve"> “Why was this perfume not sold for three hundred </w:t>
      </w:r>
      <w:proofErr w:type="spellStart"/>
      <w:r w:rsidRPr="000C7A1A">
        <w:rPr>
          <w:rFonts w:asciiTheme="majorHAnsi" w:hAnsiTheme="majorHAnsi" w:cstheme="majorHAnsi"/>
          <w:i/>
          <w:sz w:val="24"/>
          <w:szCs w:val="24"/>
          <w:highlight w:val="cyan"/>
          <w:lang w:val="en-GB"/>
        </w:rPr>
        <w:t>denarii</w:t>
      </w:r>
      <w:hyperlink r:id="rId5" w:anchor="footnote2">
        <w:r w:rsidRPr="000C7A1A">
          <w:rPr>
            <w:rFonts w:asciiTheme="majorHAnsi" w:hAnsiTheme="majorHAnsi" w:cstheme="majorHAnsi"/>
            <w:i/>
            <w:sz w:val="24"/>
            <w:szCs w:val="24"/>
            <w:highlight w:val="cyan"/>
            <w:u w:val="single"/>
            <w:vertAlign w:val="superscript"/>
            <w:lang w:val="en-GB"/>
          </w:rPr>
          <w:t>b</w:t>
        </w:r>
        <w:proofErr w:type="spellEnd"/>
      </w:hyperlink>
      <w:r w:rsidRPr="000C7A1A">
        <w:rPr>
          <w:rFonts w:asciiTheme="majorHAnsi" w:hAnsiTheme="majorHAnsi" w:cstheme="majorHAnsi"/>
          <w:i/>
          <w:sz w:val="24"/>
          <w:szCs w:val="24"/>
          <w:highlight w:val="cyan"/>
          <w:lang w:val="en-GB"/>
        </w:rPr>
        <w:t xml:space="preserve"> and the money given to the poor?”</w:t>
      </w:r>
      <w:r w:rsidRPr="000C7A1A">
        <w:rPr>
          <w:rFonts w:asciiTheme="majorHAnsi" w:hAnsiTheme="majorHAnsi" w:cstheme="majorHAnsi"/>
          <w:i/>
          <w:sz w:val="24"/>
          <w:szCs w:val="24"/>
          <w:highlight w:val="cyan"/>
          <w:vertAlign w:val="superscript"/>
          <w:lang w:val="en-GB"/>
        </w:rPr>
        <w:t xml:space="preserve"> 6</w:t>
      </w:r>
      <w:r w:rsidRPr="000C7A1A">
        <w:rPr>
          <w:rFonts w:asciiTheme="majorHAnsi" w:hAnsiTheme="majorHAnsi" w:cstheme="majorHAnsi"/>
          <w:i/>
          <w:sz w:val="24"/>
          <w:szCs w:val="24"/>
          <w:highlight w:val="cyan"/>
          <w:lang w:val="en-GB"/>
        </w:rPr>
        <w:t xml:space="preserve"> (He said this not because he cared about the poor, but because he was a thief; he kept the common purse and used to steal what was put into it.) </w:t>
      </w:r>
      <w:r w:rsidRPr="000C7A1A">
        <w:rPr>
          <w:rFonts w:asciiTheme="majorHAnsi" w:hAnsiTheme="majorHAnsi" w:cstheme="majorHAnsi"/>
          <w:i/>
          <w:sz w:val="24"/>
          <w:szCs w:val="24"/>
          <w:highlight w:val="cyan"/>
          <w:vertAlign w:val="superscript"/>
          <w:lang w:val="en-GB"/>
        </w:rPr>
        <w:t>7</w:t>
      </w:r>
      <w:r w:rsidRPr="000C7A1A">
        <w:rPr>
          <w:rFonts w:asciiTheme="majorHAnsi" w:hAnsiTheme="majorHAnsi" w:cstheme="majorHAnsi"/>
          <w:i/>
          <w:sz w:val="24"/>
          <w:szCs w:val="24"/>
          <w:highlight w:val="cyan"/>
          <w:lang w:val="en-GB"/>
        </w:rPr>
        <w:t xml:space="preserve"> Jesus said, “Leave her alone. She bought </w:t>
      </w:r>
      <w:proofErr w:type="spellStart"/>
      <w:r w:rsidRPr="000C7A1A">
        <w:rPr>
          <w:rFonts w:asciiTheme="majorHAnsi" w:hAnsiTheme="majorHAnsi" w:cstheme="majorHAnsi"/>
          <w:i/>
          <w:sz w:val="24"/>
          <w:szCs w:val="24"/>
          <w:highlight w:val="cyan"/>
          <w:lang w:val="en-GB"/>
        </w:rPr>
        <w:t>it</w:t>
      </w:r>
      <w:hyperlink r:id="rId6" w:anchor="footnote3">
        <w:r w:rsidRPr="000C7A1A">
          <w:rPr>
            <w:rFonts w:asciiTheme="majorHAnsi" w:hAnsiTheme="majorHAnsi" w:cstheme="majorHAnsi"/>
            <w:i/>
            <w:sz w:val="24"/>
            <w:szCs w:val="24"/>
            <w:highlight w:val="cyan"/>
            <w:u w:val="single"/>
            <w:vertAlign w:val="superscript"/>
            <w:lang w:val="en-GB"/>
          </w:rPr>
          <w:t>c</w:t>
        </w:r>
        <w:proofErr w:type="spellEnd"/>
      </w:hyperlink>
      <w:r w:rsidRPr="000C7A1A">
        <w:rPr>
          <w:rFonts w:asciiTheme="majorHAnsi" w:hAnsiTheme="majorHAnsi" w:cstheme="majorHAnsi"/>
          <w:i/>
          <w:sz w:val="24"/>
          <w:szCs w:val="24"/>
          <w:highlight w:val="cyan"/>
          <w:lang w:val="en-GB"/>
        </w:rPr>
        <w:t xml:space="preserve"> so that she might keep it for the day of my burial. </w:t>
      </w:r>
    </w:p>
    <w:p w14:paraId="496A26FE" w14:textId="77777777" w:rsidR="00090327" w:rsidRPr="000C7A1A" w:rsidRDefault="00090327" w:rsidP="00090327">
      <w:pPr>
        <w:shd w:val="clear" w:color="auto" w:fill="FFFFFF"/>
        <w:spacing w:line="240" w:lineRule="auto"/>
        <w:rPr>
          <w:rFonts w:asciiTheme="majorHAnsi" w:hAnsiTheme="majorHAnsi" w:cstheme="majorHAnsi"/>
          <w:i/>
          <w:sz w:val="24"/>
          <w:szCs w:val="24"/>
          <w:highlight w:val="cyan"/>
          <w:vertAlign w:val="superscript"/>
          <w:lang w:val="en-GB"/>
        </w:rPr>
      </w:pPr>
    </w:p>
    <w:p w14:paraId="00000005" w14:textId="0866C11C" w:rsidR="00EC31BD" w:rsidRPr="000C7A1A" w:rsidRDefault="00861989" w:rsidP="00090327">
      <w:pPr>
        <w:shd w:val="clear" w:color="auto" w:fill="FFFFFF"/>
        <w:spacing w:line="240" w:lineRule="auto"/>
        <w:rPr>
          <w:rFonts w:asciiTheme="majorHAnsi" w:hAnsiTheme="majorHAnsi" w:cstheme="majorHAnsi"/>
          <w:i/>
          <w:sz w:val="24"/>
          <w:szCs w:val="24"/>
          <w:highlight w:val="cyan"/>
          <w:lang w:val="en-GB"/>
        </w:rPr>
      </w:pPr>
      <w:r w:rsidRPr="000C7A1A">
        <w:rPr>
          <w:rFonts w:asciiTheme="majorHAnsi" w:hAnsiTheme="majorHAnsi" w:cstheme="majorHAnsi"/>
          <w:i/>
          <w:sz w:val="24"/>
          <w:szCs w:val="24"/>
          <w:highlight w:val="cyan"/>
          <w:vertAlign w:val="superscript"/>
          <w:lang w:val="en-GB"/>
        </w:rPr>
        <w:t xml:space="preserve">8 </w:t>
      </w:r>
      <w:r w:rsidRPr="000C7A1A">
        <w:rPr>
          <w:rFonts w:asciiTheme="majorHAnsi" w:hAnsiTheme="majorHAnsi" w:cstheme="majorHAnsi"/>
          <w:i/>
          <w:sz w:val="24"/>
          <w:szCs w:val="24"/>
          <w:highlight w:val="cyan"/>
          <w:lang w:val="en-GB"/>
        </w:rPr>
        <w:t>You always have the poor with you, but you do not always have me.</w:t>
      </w:r>
    </w:p>
    <w:p w14:paraId="690AF2B0" w14:textId="77777777" w:rsidR="00090327" w:rsidRPr="000C7A1A" w:rsidRDefault="00090327" w:rsidP="00090327">
      <w:pPr>
        <w:shd w:val="clear" w:color="auto" w:fill="FFFFFF"/>
        <w:spacing w:line="240" w:lineRule="auto"/>
        <w:rPr>
          <w:rFonts w:asciiTheme="majorHAnsi" w:hAnsiTheme="majorHAnsi" w:cstheme="majorHAnsi"/>
          <w:i/>
          <w:sz w:val="24"/>
          <w:szCs w:val="24"/>
          <w:highlight w:val="cyan"/>
          <w:lang w:val="en-GB"/>
        </w:rPr>
      </w:pPr>
    </w:p>
    <w:p w14:paraId="00000006" w14:textId="77777777" w:rsidR="00EC31BD" w:rsidRPr="000C7A1A" w:rsidRDefault="00861989" w:rsidP="00090327">
      <w:pPr>
        <w:shd w:val="clear" w:color="auto" w:fill="FFFFFF"/>
        <w:spacing w:line="240" w:lineRule="auto"/>
        <w:rPr>
          <w:rFonts w:asciiTheme="majorHAnsi" w:hAnsiTheme="majorHAnsi" w:cstheme="majorHAnsi"/>
          <w:sz w:val="24"/>
          <w:szCs w:val="24"/>
          <w:lang w:val="en-GB"/>
        </w:rPr>
      </w:pPr>
      <w:r w:rsidRPr="000C7A1A">
        <w:rPr>
          <w:rFonts w:asciiTheme="majorHAnsi" w:hAnsiTheme="majorHAnsi" w:cstheme="majorHAnsi"/>
          <w:b/>
          <w:sz w:val="24"/>
          <w:szCs w:val="24"/>
          <w:lang w:val="en-GB"/>
        </w:rPr>
        <w:t>Notes</w:t>
      </w:r>
    </w:p>
    <w:p w14:paraId="67B2147F" w14:textId="77777777" w:rsidR="00090327" w:rsidRPr="000C7A1A" w:rsidRDefault="00090327" w:rsidP="00090327">
      <w:pPr>
        <w:shd w:val="clear" w:color="auto" w:fill="FFFFFF"/>
        <w:spacing w:line="240" w:lineRule="auto"/>
        <w:rPr>
          <w:rFonts w:asciiTheme="majorHAnsi" w:hAnsiTheme="majorHAnsi" w:cstheme="majorHAnsi"/>
          <w:sz w:val="24"/>
          <w:szCs w:val="24"/>
          <w:lang w:val="en-GB"/>
        </w:rPr>
      </w:pPr>
    </w:p>
    <w:p w14:paraId="00000007" w14:textId="640D2785" w:rsidR="00EC31BD" w:rsidRPr="000C7A1A" w:rsidRDefault="00861989" w:rsidP="00090327">
      <w:pPr>
        <w:shd w:val="clear" w:color="auto" w:fill="FFFFFF"/>
        <w:spacing w:line="240" w:lineRule="auto"/>
        <w:rPr>
          <w:rFonts w:asciiTheme="majorHAnsi" w:hAnsiTheme="majorHAnsi" w:cstheme="majorHAnsi"/>
          <w:sz w:val="24"/>
          <w:szCs w:val="24"/>
          <w:lang w:val="en-GB"/>
        </w:rPr>
      </w:pPr>
      <w:r w:rsidRPr="000C7A1A">
        <w:rPr>
          <w:rFonts w:asciiTheme="majorHAnsi" w:hAnsiTheme="majorHAnsi" w:cstheme="majorHAnsi"/>
          <w:sz w:val="24"/>
          <w:szCs w:val="24"/>
          <w:lang w:val="en-GB"/>
        </w:rPr>
        <w:t>The story of Mary of Bethany in John 12:1-8 illustrates extravagant generosity and devotion. After Jesus raised her brother Lazarus, Mary anointed His feet with perfume worth nearly a year’s wages—a profound act of worship and love. Her gift was sacrificial, intentional, and deeply personal, reflecting her recognition of Jesus' worthiness. True generosity, as shown by Mary, is not about monetary value but the heart and spirit behind the act.</w:t>
      </w:r>
    </w:p>
    <w:p w14:paraId="044F10A1" w14:textId="77777777" w:rsidR="00090327" w:rsidRPr="000C7A1A" w:rsidRDefault="00090327" w:rsidP="00090327">
      <w:pPr>
        <w:shd w:val="clear" w:color="auto" w:fill="FFFFFF"/>
        <w:spacing w:line="240" w:lineRule="auto"/>
        <w:rPr>
          <w:rFonts w:asciiTheme="majorHAnsi" w:hAnsiTheme="majorHAnsi" w:cstheme="majorHAnsi"/>
          <w:sz w:val="24"/>
          <w:szCs w:val="24"/>
          <w:lang w:val="en-GB"/>
        </w:rPr>
      </w:pPr>
    </w:p>
    <w:p w14:paraId="00000008" w14:textId="683DA59C" w:rsidR="00EC31BD" w:rsidRPr="000C7A1A" w:rsidRDefault="00861989" w:rsidP="00090327">
      <w:pPr>
        <w:shd w:val="clear" w:color="auto" w:fill="FFFFFF"/>
        <w:spacing w:line="240" w:lineRule="auto"/>
        <w:rPr>
          <w:rFonts w:asciiTheme="majorHAnsi" w:hAnsiTheme="majorHAnsi" w:cstheme="majorHAnsi"/>
          <w:sz w:val="24"/>
          <w:szCs w:val="24"/>
          <w:lang w:val="en-GB"/>
        </w:rPr>
      </w:pPr>
      <w:r w:rsidRPr="000C7A1A">
        <w:rPr>
          <w:rFonts w:asciiTheme="majorHAnsi" w:hAnsiTheme="majorHAnsi" w:cstheme="majorHAnsi"/>
          <w:sz w:val="24"/>
          <w:szCs w:val="24"/>
          <w:lang w:val="en-GB"/>
        </w:rPr>
        <w:t>Generosity often involves sacrifice, as echoed in King David’s refusal to offer God anything that cost him nothing (2 Samuel 24). Mary’s act cost her financially and socially, breaking cultural norms to express devotion. Her broken alabaster jar symbolizes offering our brokenness to God, who treasures it.</w:t>
      </w:r>
    </w:p>
    <w:p w14:paraId="089E4BE4" w14:textId="77777777" w:rsidR="00090327" w:rsidRPr="000C7A1A" w:rsidRDefault="00090327" w:rsidP="00090327">
      <w:pPr>
        <w:shd w:val="clear" w:color="auto" w:fill="FFFFFF"/>
        <w:spacing w:line="240" w:lineRule="auto"/>
        <w:rPr>
          <w:rFonts w:asciiTheme="majorHAnsi" w:hAnsiTheme="majorHAnsi" w:cstheme="majorHAnsi"/>
          <w:sz w:val="24"/>
          <w:szCs w:val="24"/>
          <w:lang w:val="en-GB"/>
        </w:rPr>
      </w:pPr>
    </w:p>
    <w:p w14:paraId="00000009" w14:textId="529DBE67" w:rsidR="00EC31BD" w:rsidRPr="000C7A1A" w:rsidRDefault="00861989" w:rsidP="00090327">
      <w:pPr>
        <w:shd w:val="clear" w:color="auto" w:fill="FFFFFF"/>
        <w:spacing w:line="240" w:lineRule="auto"/>
        <w:rPr>
          <w:rFonts w:asciiTheme="majorHAnsi" w:hAnsiTheme="majorHAnsi" w:cstheme="majorHAnsi"/>
          <w:sz w:val="24"/>
          <w:szCs w:val="24"/>
          <w:lang w:val="en-GB"/>
        </w:rPr>
      </w:pPr>
      <w:r w:rsidRPr="000C7A1A">
        <w:rPr>
          <w:rFonts w:asciiTheme="majorHAnsi" w:hAnsiTheme="majorHAnsi" w:cstheme="majorHAnsi"/>
          <w:sz w:val="24"/>
          <w:szCs w:val="24"/>
          <w:lang w:val="en-GB"/>
        </w:rPr>
        <w:t>Mary’s story highlights the importance of giving to the church. Like her gift to Jesus, our giving honours Him and advances His kingdom. This generosity supports ministries that nurture faith, spread the gospel, and serve others, reminding us that all we have belongs to God (Psalm 24). We are called to seize opportunities to give, trusting that even small contributions can be multiplied by God.</w:t>
      </w:r>
    </w:p>
    <w:p w14:paraId="0481E49E" w14:textId="77777777" w:rsidR="00090327" w:rsidRPr="000C7A1A" w:rsidRDefault="00090327" w:rsidP="00090327">
      <w:pPr>
        <w:shd w:val="clear" w:color="auto" w:fill="FFFFFF"/>
        <w:spacing w:line="240" w:lineRule="auto"/>
        <w:rPr>
          <w:rFonts w:asciiTheme="majorHAnsi" w:hAnsiTheme="majorHAnsi" w:cstheme="majorHAnsi"/>
          <w:sz w:val="24"/>
          <w:szCs w:val="24"/>
          <w:lang w:val="en-GB"/>
        </w:rPr>
      </w:pPr>
    </w:p>
    <w:p w14:paraId="0000000A" w14:textId="062C3EC5" w:rsidR="00EC31BD" w:rsidRPr="000C7A1A" w:rsidRDefault="00861989" w:rsidP="00090327">
      <w:pPr>
        <w:shd w:val="clear" w:color="auto" w:fill="FFFFFF"/>
        <w:spacing w:line="240" w:lineRule="auto"/>
        <w:rPr>
          <w:rFonts w:asciiTheme="majorHAnsi" w:hAnsiTheme="majorHAnsi" w:cstheme="majorHAnsi"/>
          <w:sz w:val="24"/>
          <w:szCs w:val="24"/>
          <w:lang w:val="en-GB"/>
        </w:rPr>
      </w:pPr>
      <w:r w:rsidRPr="000C7A1A">
        <w:rPr>
          <w:rFonts w:asciiTheme="majorHAnsi" w:hAnsiTheme="majorHAnsi" w:cstheme="majorHAnsi"/>
          <w:sz w:val="24"/>
          <w:szCs w:val="24"/>
          <w:lang w:val="en-GB"/>
        </w:rPr>
        <w:t>Mary’s anointing also foreshadowed Jesus’ sacrificial death, reflecting His ultimate generosity in giving His life for humanity. Generosity mirrors Christ’s character and proclaims His gospel. It uplifts the marginalized, as Jesus defended similar acts of love by others. Even overlooked acts of kindness carry eternal significance.</w:t>
      </w:r>
    </w:p>
    <w:p w14:paraId="01020A52" w14:textId="77777777" w:rsidR="00090327" w:rsidRPr="000C7A1A" w:rsidRDefault="00090327" w:rsidP="00090327">
      <w:pPr>
        <w:shd w:val="clear" w:color="auto" w:fill="FFFFFF"/>
        <w:spacing w:line="240" w:lineRule="auto"/>
        <w:rPr>
          <w:rFonts w:asciiTheme="majorHAnsi" w:hAnsiTheme="majorHAnsi" w:cstheme="majorHAnsi"/>
          <w:sz w:val="24"/>
          <w:szCs w:val="24"/>
          <w:lang w:val="en-GB"/>
        </w:rPr>
      </w:pPr>
    </w:p>
    <w:p w14:paraId="0000000B" w14:textId="6A70B5F9" w:rsidR="00EC31BD" w:rsidRPr="000C7A1A" w:rsidRDefault="00861989" w:rsidP="00090327">
      <w:pPr>
        <w:shd w:val="clear" w:color="auto" w:fill="FFFFFF"/>
        <w:spacing w:line="240" w:lineRule="auto"/>
        <w:rPr>
          <w:rFonts w:asciiTheme="majorHAnsi" w:hAnsiTheme="majorHAnsi" w:cstheme="majorHAnsi"/>
          <w:sz w:val="24"/>
          <w:szCs w:val="24"/>
          <w:lang w:val="en-GB"/>
        </w:rPr>
      </w:pPr>
      <w:r w:rsidRPr="000C7A1A">
        <w:rPr>
          <w:rFonts w:asciiTheme="majorHAnsi" w:hAnsiTheme="majorHAnsi" w:cstheme="majorHAnsi"/>
          <w:sz w:val="24"/>
          <w:szCs w:val="24"/>
          <w:lang w:val="en-GB"/>
        </w:rPr>
        <w:t>True worship involves complete self-giving—our time, talents, resources, and love. Inspired by Mary’s example, we are called to inspire others in our parishes to live generously. By giving sacrificially, we glorify God and embody His love, becoming a light to others.</w:t>
      </w:r>
    </w:p>
    <w:p w14:paraId="6AA0A647" w14:textId="77777777" w:rsidR="00090327" w:rsidRPr="000C7A1A" w:rsidRDefault="00090327" w:rsidP="00090327">
      <w:pPr>
        <w:shd w:val="clear" w:color="auto" w:fill="FFFFFF"/>
        <w:spacing w:line="240" w:lineRule="auto"/>
        <w:rPr>
          <w:rFonts w:asciiTheme="majorHAnsi" w:hAnsiTheme="majorHAnsi" w:cstheme="majorHAnsi"/>
          <w:sz w:val="24"/>
          <w:szCs w:val="24"/>
          <w:lang w:val="en-GB"/>
        </w:rPr>
      </w:pPr>
    </w:p>
    <w:p w14:paraId="121A8EA8" w14:textId="77777777" w:rsidR="000C7A1A" w:rsidRPr="000C7A1A" w:rsidRDefault="00861989" w:rsidP="00090327">
      <w:pPr>
        <w:shd w:val="clear" w:color="auto" w:fill="FFFFFF"/>
        <w:spacing w:line="240" w:lineRule="auto"/>
        <w:rPr>
          <w:rFonts w:asciiTheme="majorHAnsi" w:hAnsiTheme="majorHAnsi" w:cstheme="majorHAnsi"/>
          <w:b/>
          <w:sz w:val="24"/>
          <w:szCs w:val="24"/>
        </w:rPr>
      </w:pPr>
      <w:r w:rsidRPr="000C7A1A">
        <w:rPr>
          <w:rFonts w:asciiTheme="majorHAnsi" w:hAnsiTheme="majorHAnsi" w:cstheme="majorHAnsi"/>
          <w:sz w:val="24"/>
          <w:szCs w:val="24"/>
          <w:lang w:val="en-GB"/>
        </w:rPr>
        <w:t>As we reflect on Mary’s extravagant gift, let us ask ourselves: Are we holding back, or are we giving in ways that reflect true worship and devotion? Through generous acts, we honour God and build His kingdom, trusting Him to use our offerings for His glory.</w:t>
      </w:r>
      <w:r w:rsidR="00090327" w:rsidRPr="000C7A1A">
        <w:rPr>
          <w:rFonts w:asciiTheme="majorHAnsi" w:hAnsiTheme="majorHAnsi" w:cstheme="majorHAnsi"/>
          <w:sz w:val="24"/>
          <w:szCs w:val="24"/>
          <w:lang w:val="en-GB"/>
        </w:rPr>
        <w:br/>
      </w:r>
    </w:p>
    <w:p w14:paraId="60A97261" w14:textId="0C50C823" w:rsidR="00090327" w:rsidRPr="000C7A1A" w:rsidRDefault="00090327" w:rsidP="00090327">
      <w:pPr>
        <w:shd w:val="clear" w:color="auto" w:fill="FFFFFF"/>
        <w:spacing w:line="240" w:lineRule="auto"/>
        <w:rPr>
          <w:rFonts w:asciiTheme="majorHAnsi" w:hAnsiTheme="majorHAnsi" w:cstheme="majorHAnsi"/>
          <w:sz w:val="24"/>
          <w:szCs w:val="24"/>
        </w:rPr>
      </w:pPr>
      <w:r w:rsidRPr="000C7A1A">
        <w:rPr>
          <w:rFonts w:asciiTheme="majorHAnsi" w:hAnsiTheme="majorHAnsi" w:cstheme="majorHAnsi"/>
          <w:b/>
          <w:sz w:val="24"/>
          <w:szCs w:val="24"/>
        </w:rPr>
        <w:t>End</w:t>
      </w:r>
    </w:p>
    <w:sectPr w:rsidR="00090327" w:rsidRPr="000C7A1A" w:rsidSect="000C7A1A">
      <w:pgSz w:w="11906" w:h="16838"/>
      <w:pgMar w:top="1440" w:right="1134" w:bottom="851"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BD"/>
    <w:rsid w:val="00090327"/>
    <w:rsid w:val="000B26D7"/>
    <w:rsid w:val="000C7A1A"/>
    <w:rsid w:val="004D4B31"/>
    <w:rsid w:val="006371DA"/>
    <w:rsid w:val="007114C2"/>
    <w:rsid w:val="00743F16"/>
    <w:rsid w:val="007665FF"/>
    <w:rsid w:val="00861989"/>
    <w:rsid w:val="00B07681"/>
    <w:rsid w:val="00EC3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E58E"/>
  <w15:docId w15:val="{C452BC67-D4F0-495F-BFBE-146ECC13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nrsv/john/12/1-8" TargetMode="External"/><Relationship Id="rId5" Type="http://schemas.openxmlformats.org/officeDocument/2006/relationships/hyperlink" Target="https://biblia.com/bible/nrsv/john/12/1-8" TargetMode="External"/><Relationship Id="rId4" Type="http://schemas.openxmlformats.org/officeDocument/2006/relationships/hyperlink" Target="https://biblia.com/bible/nrsv/john/1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Fancett</dc:creator>
  <cp:lastModifiedBy>Dennis Fancett</cp:lastModifiedBy>
  <cp:revision>3</cp:revision>
  <dcterms:created xsi:type="dcterms:W3CDTF">2025-09-30T15:27:00Z</dcterms:created>
  <dcterms:modified xsi:type="dcterms:W3CDTF">2025-09-30T16:01:00Z</dcterms:modified>
</cp:coreProperties>
</file>